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12 189 vom 2. Juli 2014</w:t>
      </w:r>
    </w:p>
    <w:p>
      <w:r>
        <w:t>VS Kantonsgericht, 2014-07-02, FR</w:t>
      </w:r>
    </w:p>
    <w:p>
      <w:r>
        <w:rPr>
          <w:b/>
        </w:rPr>
        <w:t xml:space="preserve">Quelle: </w:t>
      </w:r>
      <w:r>
        <w:t>https://mcp.opencaselaw.ch/entscheid/vs_gerichte_S1 12 189</w:t>
      </w:r>
    </w:p>
    <w:p>
      <w:r>
        <w:t>FR: VS_GERICHTE S1 12 189 du 2 juillet 2014</w:t>
      </w:r>
    </w:p>
    <w:p>
      <w:r>
        <w:t>IT: VS_GERICHTE S1 12 189 del 2 luglio 2014</w:t>
      </w:r>
    </w:p>
    <w:p>
      <w:pPr>
        <w:pStyle w:val="Heading2"/>
      </w:pPr>
      <w:r>
        <w:t>Regeste</w:t>
      </w:r>
    </w:p>
    <w:p>
      <w:r>
        <w:t>S1 12 189 JUGEMENT DU 2 JUILLET 2014 Tribunal cantonal du Valais Cour des assurances sociales Composition : Eve-Marie Dayer-Schmid, présidente ; Jean-Bernard Fournier et Jean- Pierre Zufferey, juges ; Pierre-André Moix, greffier en la cause FONDATION DE PRÉVOYANCE X_________, recourante, représentée par Maître A_________ contre OFFICE CANTONAL AI DU VALAIS, intimé et Y_________, représenté par Maître B_________ (rente d’invalidité)</w:t>
      </w:r>
    </w:p>
    <w:p>
      <w:pPr>
        <w:pStyle w:val="Heading2"/>
      </w:pPr>
      <w:r>
        <w:t>Erwägungen</w:t>
      </w:r>
    </w:p>
    <w:p>
      <w:r>
        <w:rPr>
          <w:b/>
        </w:rPr>
        <w:t>E. 22</w:t>
      </w:r>
    </w:p>
    <w:p>
      <w:r>
        <w:t>août précédent et reçue le 27 août 2012 a été interjeté dans le délai légal de trente jours (art. 60 LPGA) devant l'instance compétente (art. 56, 57 et 58 LPGA; art. 81bis al. 1 LPJA). Il répond par ailleurs aux autres conditions formelles de recevabilité (art. 61 let. b LPGA), de sorte que la Cour doit entrer en matière. 2.1 A titre liminaire, il convient d’examiner la capacité pour recourir de la recourante, l’intimé estimant que la Cour de céans ne devrait pas entrer en matière sur le recours en raison du fait que selon lui, la décision entreprise n’a pas de force contraignante pour la Fondation de prévoyance X_________. 2.2 Le droit fédéral reconnaît, à certaines conditions, la qualité pour recourir d'un assureur tiers, lorsque la décision d'un assureur touche l'obligation d'un autre assureur d'allouer des prestations. D'après l'article 49 alinéa 4 LPGA, l'assureur qui rend une décision touchant l'obligation d'un autre assureur d'allouer des prestations est ainsi tenu de lui en communiquer un exemplaire. Cet autre assureur dispose alors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p. 77). Ainsi que cela ressort des articles 23, 24 alinéa 1 et 26 alinéa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p. 69; 132 V 1 consid. 3.2 p. 4). Aussi bien en matière de prévoyance obligatoire qu'en</w:t>
      </w:r>
    </w:p>
    <w:p>
      <w:r>
        <w:t>- 7 - matière de prévoyance plus étendue (lorsque l'institution de prévoyance a décidé réglementairement d'étendre la prévoyance au-delà des exigences minimales fixées dans la loi), l'évaluation de l'invalidité effectuée par les organes de l'assurance- 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la cadre de la procédure de préavis que pour former un recours contre une décision des organes de l'assurance- invalidité qui statue sur le droit à la rente ou fixe le degré d'invalidité de la personne assurée; pour les mêmes raisons, il convient de leur reconnaître qualité pour interjeter un recours en matière de droit public contre une décision d'un tribunal cantonal des assurances en la matière (ATF 132 V 1 consid. 3.3.1).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pour le reste, il appartient aux organes de la prévoyance professionnelle d'examiner librement les conditions du droit à la rente (arrêt du Tribunal fédéral des assurances B 50/99 du 14 août 2000 consid. 2b). En vertu de l'article 29 alinéa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 du Tribunal fédéral 9C_620/2012 du 16 octobre 2012 consid. 2.4). 2.3 En l’espèce, la décision entreprise retient que le délai d’attente a débuté le</w:t>
      </w:r>
    </w:p>
    <w:p>
      <w:r>
        <w:rPr>
          <w:b/>
        </w:rPr>
        <w:t>E. 27</w:t>
      </w:r>
    </w:p>
    <w:p>
      <w:r>
        <w:t>juillet 2009 et que l’assuré a déposé une demande de prestations en date du</w:t>
      </w:r>
    </w:p>
    <w:p>
      <w:r>
        <w:t>- 8 - 22 février 2010, réceptionnée le 2 mars suivant). Appliquant l’article 29 LAI, l’OAI a octroyé à l’assuré une rente entière dès le 1er septembre 2010. Conformément à l’arrêt 9C_620/2010 précité, l’OAI n’avait pas à examiner l’évolution de la capacité de travail au-delà d’une période de six mois précédant le 22 février 2010, de sorte que la constatation selon laquelle l’incapacité de travail a débuté le 27 juillet 2009 ne lie pas la recourante. Cependant, il sied de souligner que la recourante a conclu dans ses écritures non seulement à la constatation du fait que l’incapacité de travail est postérieure de plus d’un mois à la fin des rapports de travail de Y_________ auprès de C_________ SA, mais a également attaqué la décision de l’OAI sur le bien-fondé de l’octroi d’une rente à l’assuré, concluant à son annulation. Compte tenu de cet élément, lequel diffère des jurisprudences invoquées par l’intimé dans le cadre de son argumentation visant à dénier la qualité pour agir de la recourante, il convient donc d’entrer en matière sur le recours et d’examiner les griefs relatifs aux conditions d’octroi de la rente d’invalidité octroyée dès le 1er septembre 2010. 3.1 Le litige porte sur le bien-fondé de ladite rente d’invalidité octroyée par l’OAI par décision du 22 août 2012. 3.2 L'article 4 LAI dispose que l'invalidité peut résulter d'une infirmité congénitale, d'une maladie ou d'un accident; elle est réputée survenue dès qu'elle est, par sa nature et sa gravité, propre à ouvrir droit aux prestations entrant en considération. Toute « invalidité » n'ouvre pas nécessairement le droit à une rente. Selon l'article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La rente est échelonnée selon le taux d’invalidité: Taux d’invalidité</w:t>
      </w:r>
    </w:p>
    <w:p>
      <w:r>
        <w:t>Droit à la rente en fraction d’une rente entière 40 % au moins</w:t>
      </w:r>
    </w:p>
    <w:p>
      <w:r>
        <w:t>un quart</w:t>
      </w:r>
    </w:p>
    <w:p>
      <w:r>
        <w:t>- 9 - 50 % au moins</w:t>
      </w:r>
    </w:p>
    <w:p>
      <w:r>
        <w:t>une demie 60 % au moins</w:t>
      </w:r>
    </w:p>
    <w:p>
      <w:r>
        <w:t>trois quarts 70 % au moins</w:t>
      </w:r>
    </w:p>
    <w:p>
      <w:r>
        <w:t>rente entière</w:t>
      </w:r>
    </w:p>
    <w:p>
      <w:r>
        <w:t>3.3 Pour pouvoir calculer le degré d'invalidité, l'administration (ou le juge, s'il y a eu un recours) a ainsi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L'élément déterminant pour la valeur probante n'est ni l'origine du moyen de preuve ni sa désignation comme rapport ou comme expertise, mais bel et bien son contenu (ATF 125 V 352 consid. 3a et les références ; VSI 2001 p. 108 consid. 3a).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125 V 352 consid. 3a et 353 consid. 3b/bb ; 122 V 161 consid. 1c et les références). 4. En l’espèce, suivant l’avis du Dr G_________ du SMR, l’OAI a dans un premier temps établi le 30 novembre 2010 un projet d’octroi de rente limité dans le temps du 1er septembre 2010 au 31 janvier 2011, estimant que l’état de santé du recourant était compatible avec l’exercice d’une activité lucrative. Sur opposition du mandataire de l’assuré, le SMR a réexaminé le cas et est parvenu à la conclusion que Y_________ souffrait de troubles bipolaires et que son incapacité de travail était complète dans toute activité dès le 1er février 2010 (rapport du Dr L_________ du 10 mai 2012). Le psychiatre du SMR relevait que l’assuré avait des phases où il se sentait bien, des phases hypomaniaques où il était inadéquat, voire agressif selon son entourage et des</w:t>
      </w:r>
    </w:p>
    <w:p>
      <w:r>
        <w:t>- 10 - phases dépressives sévères. Il indiquait en outre qu’il n’avait jamais été observé durant ses phases dépressives par les experts mais qu’elles étaient évidentes au plan anamnestique et confirmées par son psychiatre traitant et son épouse. Il sied en outre de relever que tant l’expert H_________ que le Dr F_________, psychiatre traitant de l’intéressé, avaient estimé que dès le 1er avril 2011, la capacité de travail serait complète. La réalité a cependant été toute autre, Y_________ ayant séjourné auprès de la clinique I_________ de J_________ du 11 au 30 avril 2011 pour des troubles bipolaires de type III, épisode actuel hypomane. A la lumière de cette hospitalisation, il apparaît que les pronostics posés par les Dr H_________, F_________ et G_________ concernant la reprise du travail sont sujets à caution. En outre, le diagnostic de trouble bipolaire posé par le Dr L_________ permet également d’expliquer les divergences relatives à la sévérité de l’état dépressif de l’assuré entre les avis des Drs F_________ et H_________. Compte tenu de l’anamnèse de Y_________ et du fait que les troubles bipolaires ont la caractéristique de ne pas être permanents, l’argumentation du Dr L_________ apparaît tout à fait soutenable. De plus, la recourante ne fournit à l’appui de son recours aucun élément médical permettant de remettre en question le diagnostic posé par le Dr L_________, se contentant de remettre en doute la date depuis laquelle l’incapacité de travail a été retenue par l’OAI dans sa décision du 22 août 2012. Ce faisant, elle ne démontre pas en quoi l’avis du spécialiste du SMR serait insoutenable et les raisons pour lesquelles il ne devrait pas être suivi. Faute pour la recourante d’apporter une argumentation médicale de nature à invalider les conclusions du Dr L_________, en particulier sur les caractéristiques du trouble bipolaire, la Cour de céans considère que leur valeur probante n’est pas remise en cause et que compte tenu de ces éléments, l’OAI a correctement tenu compte de cet avis médical dans sa décision du 22 août 2012. 5. Au terme de ces développements, aucun des arguments de la recourante ne peut être retenu. Le recours doit dès lors être rejeté et la décision entreprise confirmée. On relèvera en outre que le fait que l’assuré puisse prétendre à des prestations de sa caisse de pension sort du cadre du présent litige et qu’il appartient à la recourante d’examiner si les conditions d’une rente du deuxième pilier sont remplies dans le cas de l’intéressé.</w:t>
      </w:r>
    </w:p>
    <w:p>
      <w:r>
        <w:t>- 11 - 6. Les frais de justice, arrêtés à 500 fr. en fonction de la difficulté moyenne de la présente procédure sont mis à la charge de la recourante et compensés avec son avance. Compte tenu de l’issue de la procédure, laquelle confirme l’octroi de sa rente d’invalidité, Y_________ a droit à des dépens, lesquels sont fixés à 1000 fr. (débours compris) eu égard à la difficulté moyenne de la présente procédure et mis à la charge de la recourante (art. 61 let. g LPGA; art. 4 al. 1, 27 al. 1 et 40 al. 1 LTar).</w:t>
      </w:r>
    </w:p>
    <w:p>
      <w:r>
        <w:t>Prononce</w:t>
      </w:r>
    </w:p>
    <w:p>
      <w:r>
        <w:t>1. Le recours est rejeté. 2. Les frais de la cause, par 500 fr., sont mis à la charge de la Fondation de prévoyance X_________. 3. La Fondation de prévoyance X_________ versera à Y_________ une indemnité de dépens de 1000 fr., débours compris.</w:t>
      </w:r>
    </w:p>
    <w:p>
      <w:r>
        <w:t>Sion, le 2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